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24" w:rsidRPr="00A62FE2" w:rsidRDefault="00514324" w:rsidP="00514324">
      <w:pPr>
        <w:rPr>
          <w:b/>
          <w:sz w:val="22"/>
        </w:rPr>
      </w:pPr>
      <w:r w:rsidRPr="00A62FE2">
        <w:rPr>
          <w:b/>
          <w:sz w:val="22"/>
        </w:rPr>
        <w:t>RENDIMIENTO POTENCIAL EN TRIGO PAN</w:t>
      </w:r>
    </w:p>
    <w:p w:rsidR="00514324" w:rsidRPr="00FB659F" w:rsidRDefault="00514324" w:rsidP="00514324">
      <w:pPr>
        <w:rPr>
          <w:sz w:val="18"/>
          <w:szCs w:val="18"/>
          <w:vertAlign w:val="superscript"/>
        </w:rPr>
      </w:pPr>
      <w:r w:rsidRPr="00FB659F">
        <w:rPr>
          <w:sz w:val="18"/>
          <w:szCs w:val="18"/>
        </w:rPr>
        <w:t>Messi L</w:t>
      </w:r>
      <w:r w:rsidRPr="00FB659F">
        <w:rPr>
          <w:sz w:val="18"/>
          <w:szCs w:val="18"/>
          <w:vertAlign w:val="superscript"/>
        </w:rPr>
        <w:t>1,2</w:t>
      </w:r>
      <w:r w:rsidRPr="00FB659F">
        <w:rPr>
          <w:sz w:val="18"/>
          <w:szCs w:val="18"/>
        </w:rPr>
        <w:t xml:space="preserve">; </w:t>
      </w:r>
      <w:proofErr w:type="spellStart"/>
      <w:r w:rsidRPr="00FB659F">
        <w:rPr>
          <w:sz w:val="18"/>
          <w:szCs w:val="18"/>
        </w:rPr>
        <w:t>Scaloni</w:t>
      </w:r>
      <w:proofErr w:type="spellEnd"/>
      <w:r w:rsidRPr="00FB659F">
        <w:rPr>
          <w:sz w:val="18"/>
          <w:szCs w:val="18"/>
        </w:rPr>
        <w:t xml:space="preserve"> L</w:t>
      </w:r>
      <w:r w:rsidRPr="00FB659F">
        <w:rPr>
          <w:sz w:val="18"/>
          <w:szCs w:val="18"/>
          <w:vertAlign w:val="superscript"/>
        </w:rPr>
        <w:t>1</w:t>
      </w:r>
      <w:r w:rsidRPr="00FB659F">
        <w:rPr>
          <w:sz w:val="18"/>
          <w:szCs w:val="18"/>
        </w:rPr>
        <w:t>; Ruiz J</w:t>
      </w:r>
      <w:r w:rsidRPr="00FB659F">
        <w:rPr>
          <w:sz w:val="18"/>
          <w:szCs w:val="18"/>
          <w:vertAlign w:val="superscript"/>
        </w:rPr>
        <w:t>1</w:t>
      </w:r>
      <w:r w:rsidRPr="00FB659F">
        <w:rPr>
          <w:rFonts w:eastAsia="FangSong"/>
          <w:sz w:val="18"/>
          <w:szCs w:val="18"/>
          <w:vertAlign w:val="superscript"/>
        </w:rPr>
        <w:t>*</w:t>
      </w:r>
    </w:p>
    <w:p w:rsidR="00514324" w:rsidRPr="00A62FE2" w:rsidRDefault="00514324" w:rsidP="00514324">
      <w:pPr>
        <w:rPr>
          <w:sz w:val="18"/>
          <w:szCs w:val="18"/>
          <w:lang w:val="en-US"/>
        </w:rPr>
      </w:pPr>
      <w:r w:rsidRPr="00A62FE2">
        <w:rPr>
          <w:sz w:val="18"/>
          <w:szCs w:val="18"/>
          <w:vertAlign w:val="superscript"/>
          <w:lang w:val="en-US"/>
        </w:rPr>
        <w:t>1</w:t>
      </w:r>
      <w:r w:rsidRPr="00A62FE2">
        <w:rPr>
          <w:sz w:val="18"/>
          <w:szCs w:val="18"/>
          <w:lang w:val="en-US"/>
        </w:rPr>
        <w:t xml:space="preserve"> </w:t>
      </w:r>
      <w:r w:rsidR="003D2CD3">
        <w:rPr>
          <w:sz w:val="18"/>
          <w:szCs w:val="18"/>
          <w:lang w:val="en-US"/>
        </w:rPr>
        <w:t>Inter Miami</w:t>
      </w:r>
      <w:r w:rsidRPr="00A62FE2">
        <w:rPr>
          <w:sz w:val="18"/>
          <w:szCs w:val="18"/>
          <w:lang w:val="en-US"/>
        </w:rPr>
        <w:t xml:space="preserve">, </w:t>
      </w:r>
      <w:r w:rsidR="003D2CD3">
        <w:rPr>
          <w:sz w:val="18"/>
          <w:szCs w:val="18"/>
          <w:lang w:val="en-US"/>
        </w:rPr>
        <w:t>Miami</w:t>
      </w:r>
      <w:r w:rsidRPr="00A62FE2">
        <w:rPr>
          <w:sz w:val="18"/>
          <w:szCs w:val="18"/>
          <w:lang w:val="en-US"/>
        </w:rPr>
        <w:t xml:space="preserve">, </w:t>
      </w:r>
      <w:r w:rsidR="003D2CD3">
        <w:rPr>
          <w:sz w:val="18"/>
          <w:szCs w:val="18"/>
          <w:lang w:val="en-US"/>
        </w:rPr>
        <w:t>EEUU</w:t>
      </w:r>
      <w:r w:rsidRPr="00A62FE2">
        <w:rPr>
          <w:sz w:val="18"/>
          <w:szCs w:val="18"/>
          <w:lang w:val="en-US"/>
        </w:rPr>
        <w:t xml:space="preserve">; </w:t>
      </w:r>
      <w:r w:rsidRPr="00A62FE2">
        <w:rPr>
          <w:sz w:val="18"/>
          <w:szCs w:val="18"/>
          <w:vertAlign w:val="superscript"/>
          <w:lang w:val="en-US"/>
        </w:rPr>
        <w:t>2</w:t>
      </w:r>
      <w:r w:rsidRPr="00A62FE2">
        <w:rPr>
          <w:sz w:val="18"/>
          <w:szCs w:val="18"/>
          <w:lang w:val="en-US"/>
        </w:rPr>
        <w:t xml:space="preserve"> College of Horticulture, Southwest Forestry University, Kunming, China</w:t>
      </w:r>
    </w:p>
    <w:p w:rsidR="00514324" w:rsidRPr="00FB659F" w:rsidRDefault="00514324" w:rsidP="00514324">
      <w:pPr>
        <w:rPr>
          <w:sz w:val="18"/>
          <w:szCs w:val="18"/>
        </w:rPr>
      </w:pPr>
      <w:r w:rsidRPr="00FB659F">
        <w:rPr>
          <w:rFonts w:eastAsia="FangSong"/>
          <w:sz w:val="18"/>
          <w:szCs w:val="18"/>
          <w:vertAlign w:val="superscript"/>
        </w:rPr>
        <w:t>*</w:t>
      </w:r>
      <w:r w:rsidRPr="00FB659F">
        <w:rPr>
          <w:sz w:val="18"/>
          <w:szCs w:val="18"/>
        </w:rPr>
        <w:t>Correspondenc</w:t>
      </w:r>
      <w:r w:rsidR="00FB659F" w:rsidRPr="00FB659F">
        <w:rPr>
          <w:sz w:val="18"/>
          <w:szCs w:val="18"/>
        </w:rPr>
        <w:t>ia</w:t>
      </w:r>
      <w:r w:rsidRPr="00FB659F">
        <w:rPr>
          <w:sz w:val="18"/>
          <w:szCs w:val="18"/>
        </w:rPr>
        <w:t>: leo.messi@unxx.xx.xx</w:t>
      </w:r>
    </w:p>
    <w:p w:rsidR="00514324" w:rsidRPr="00FB659F" w:rsidRDefault="00514324" w:rsidP="00514324">
      <w:pPr>
        <w:rPr>
          <w:sz w:val="18"/>
          <w:szCs w:val="18"/>
        </w:rPr>
      </w:pPr>
    </w:p>
    <w:p w:rsidR="00514324" w:rsidRPr="00FB659F" w:rsidRDefault="00514324" w:rsidP="00514324">
      <w:pPr>
        <w:rPr>
          <w:b/>
          <w:sz w:val="18"/>
          <w:szCs w:val="18"/>
        </w:rPr>
      </w:pPr>
      <w:r w:rsidRPr="00FB659F">
        <w:rPr>
          <w:b/>
          <w:sz w:val="18"/>
          <w:szCs w:val="18"/>
        </w:rPr>
        <w:t>INTRODUCCIÓN</w:t>
      </w:r>
    </w:p>
    <w:p w:rsidR="003D2CD3" w:rsidRDefault="003D2CD3" w:rsidP="00514324">
      <w:pPr>
        <w:rPr>
          <w:sz w:val="18"/>
          <w:szCs w:val="18"/>
        </w:rPr>
      </w:pPr>
      <w:r w:rsidRPr="003D2CD3">
        <w:rPr>
          <w:sz w:val="18"/>
          <w:szCs w:val="18"/>
        </w:rPr>
        <w:t>En las plantas de cereales, la gluma es la capa más externa de cada espiguilla, además de los cuatro verticilos de órganos florales que suelen estar determinados por la maquinaria MADS-box</w:t>
      </w:r>
      <w:r>
        <w:rPr>
          <w:sz w:val="18"/>
          <w:szCs w:val="18"/>
        </w:rPr>
        <w:t xml:space="preserve"> (</w:t>
      </w:r>
      <w:proofErr w:type="spellStart"/>
      <w:r>
        <w:rPr>
          <w:sz w:val="18"/>
          <w:szCs w:val="18"/>
        </w:rPr>
        <w:t>Abeledo</w:t>
      </w:r>
      <w:proofErr w:type="spellEnd"/>
      <w:r>
        <w:rPr>
          <w:sz w:val="18"/>
          <w:szCs w:val="18"/>
        </w:rPr>
        <w:t xml:space="preserve"> et al., 2003)</w:t>
      </w:r>
      <w:r w:rsidRPr="003D2CD3">
        <w:rPr>
          <w:sz w:val="18"/>
          <w:szCs w:val="18"/>
        </w:rPr>
        <w:t>. Estudios en arroz y trigo han identificado algunos reguladores de la morfogénesis de la gluma, como los factores de transcripción</w:t>
      </w:r>
      <w:r>
        <w:rPr>
          <w:sz w:val="18"/>
          <w:szCs w:val="18"/>
        </w:rPr>
        <w:t xml:space="preserve"> (</w:t>
      </w:r>
      <w:proofErr w:type="spellStart"/>
      <w:r w:rsidRPr="00A62FE2">
        <w:rPr>
          <w:sz w:val="18"/>
          <w:szCs w:val="18"/>
        </w:rPr>
        <w:t>Achilli</w:t>
      </w:r>
      <w:proofErr w:type="spellEnd"/>
      <w:r>
        <w:rPr>
          <w:sz w:val="18"/>
          <w:szCs w:val="18"/>
        </w:rPr>
        <w:t xml:space="preserve"> et al., 2022)</w:t>
      </w:r>
      <w:r w:rsidRPr="003D2CD3">
        <w:rPr>
          <w:sz w:val="18"/>
          <w:szCs w:val="18"/>
        </w:rPr>
        <w:t xml:space="preserve">. </w:t>
      </w:r>
      <w:r>
        <w:rPr>
          <w:sz w:val="18"/>
          <w:szCs w:val="18"/>
        </w:rPr>
        <w:t xml:space="preserve">El objetivo del trabajo fue </w:t>
      </w:r>
      <w:r w:rsidR="00FB659F">
        <w:rPr>
          <w:sz w:val="18"/>
          <w:szCs w:val="18"/>
        </w:rPr>
        <w:t>evaluar el rendimiento potencial del trigo en distintos paíse</w:t>
      </w:r>
      <w:bookmarkStart w:id="0" w:name="_GoBack"/>
      <w:bookmarkEnd w:id="0"/>
      <w:r w:rsidR="00FB659F">
        <w:rPr>
          <w:sz w:val="18"/>
          <w:szCs w:val="18"/>
        </w:rPr>
        <w:t>s del Mercosur</w:t>
      </w:r>
      <w:r>
        <w:rPr>
          <w:sz w:val="18"/>
          <w:szCs w:val="18"/>
        </w:rPr>
        <w:t>.</w:t>
      </w:r>
    </w:p>
    <w:p w:rsidR="003D2CD3" w:rsidRPr="003D2CD3" w:rsidRDefault="003D2CD3" w:rsidP="00514324">
      <w:pPr>
        <w:rPr>
          <w:sz w:val="18"/>
          <w:szCs w:val="18"/>
        </w:rPr>
      </w:pPr>
    </w:p>
    <w:p w:rsidR="00514324" w:rsidRPr="003D2CD3" w:rsidRDefault="00514324" w:rsidP="00514324">
      <w:pPr>
        <w:rPr>
          <w:b/>
          <w:sz w:val="18"/>
          <w:szCs w:val="18"/>
        </w:rPr>
      </w:pPr>
      <w:r w:rsidRPr="003D2CD3">
        <w:rPr>
          <w:b/>
          <w:sz w:val="18"/>
          <w:szCs w:val="18"/>
        </w:rPr>
        <w:t>MATERIALES Y MÉTODOS</w:t>
      </w:r>
    </w:p>
    <w:p w:rsidR="003D2CD3" w:rsidRDefault="003D2CD3" w:rsidP="003D2CD3">
      <w:pPr>
        <w:rPr>
          <w:sz w:val="18"/>
          <w:szCs w:val="18"/>
        </w:rPr>
      </w:pPr>
      <w:r w:rsidRPr="003D2CD3">
        <w:rPr>
          <w:sz w:val="18"/>
          <w:szCs w:val="18"/>
        </w:rPr>
        <w:t xml:space="preserve">A partir de la población de </w:t>
      </w:r>
      <w:proofErr w:type="spellStart"/>
      <w:r w:rsidRPr="003D2CD3">
        <w:rPr>
          <w:sz w:val="18"/>
          <w:szCs w:val="18"/>
        </w:rPr>
        <w:t>mutagénesis</w:t>
      </w:r>
      <w:proofErr w:type="spellEnd"/>
      <w:r w:rsidRPr="003D2CD3">
        <w:rPr>
          <w:sz w:val="18"/>
          <w:szCs w:val="18"/>
        </w:rPr>
        <w:t xml:space="preserve"> de cebada “HTX”, previamente establecida, se identificaron varios mutantes similares al “Triple </w:t>
      </w:r>
      <w:proofErr w:type="spellStart"/>
      <w:r w:rsidRPr="003D2CD3">
        <w:rPr>
          <w:sz w:val="18"/>
          <w:szCs w:val="18"/>
        </w:rPr>
        <w:t>Bearded</w:t>
      </w:r>
      <w:proofErr w:type="spellEnd"/>
      <w:r w:rsidRPr="003D2CD3">
        <w:rPr>
          <w:sz w:val="18"/>
          <w:szCs w:val="18"/>
        </w:rPr>
        <w:t xml:space="preserve"> </w:t>
      </w:r>
      <w:proofErr w:type="spellStart"/>
      <w:r w:rsidRPr="003D2CD3">
        <w:rPr>
          <w:sz w:val="18"/>
          <w:szCs w:val="18"/>
        </w:rPr>
        <w:t>Mariout</w:t>
      </w:r>
      <w:proofErr w:type="spellEnd"/>
      <w:r w:rsidRPr="003D2CD3">
        <w:rPr>
          <w:sz w:val="18"/>
          <w:szCs w:val="18"/>
        </w:rPr>
        <w:t>”.</w:t>
      </w:r>
    </w:p>
    <w:p w:rsidR="00514324" w:rsidRDefault="003D2CD3" w:rsidP="00514324">
      <w:pPr>
        <w:rPr>
          <w:sz w:val="18"/>
          <w:szCs w:val="18"/>
        </w:rPr>
      </w:pPr>
      <w:r w:rsidRPr="003D2CD3">
        <w:rPr>
          <w:sz w:val="18"/>
          <w:szCs w:val="18"/>
        </w:rPr>
        <w:t xml:space="preserve">Estos mutantes presentan el par de glumas de cada espiguilla fértil alargadas y expandidas, con una arista en la extensión tan larga como la del ápice </w:t>
      </w:r>
      <w:proofErr w:type="gramStart"/>
      <w:r w:rsidRPr="003D2CD3">
        <w:rPr>
          <w:sz w:val="18"/>
          <w:szCs w:val="18"/>
        </w:rPr>
        <w:t>de la lema</w:t>
      </w:r>
      <w:proofErr w:type="gramEnd"/>
      <w:r w:rsidRPr="003D2CD3">
        <w:rPr>
          <w:sz w:val="18"/>
          <w:szCs w:val="18"/>
        </w:rPr>
        <w:t xml:space="preserve">; por lo tanto, con dos órganos adicionales similares a lemas en cada espiguilla. Mediante una prueba de </w:t>
      </w:r>
      <w:proofErr w:type="spellStart"/>
      <w:r w:rsidRPr="003D2CD3">
        <w:rPr>
          <w:sz w:val="18"/>
          <w:szCs w:val="18"/>
        </w:rPr>
        <w:t>alelismo</w:t>
      </w:r>
      <w:proofErr w:type="spellEnd"/>
      <w:r w:rsidRPr="003D2CD3">
        <w:rPr>
          <w:sz w:val="18"/>
          <w:szCs w:val="18"/>
        </w:rPr>
        <w:t xml:space="preserve"> entre este tipo de mutante y los mutantes eog1.a y eog1.c de gluma externa alargada de cebada (eog1) previamente identificados, se determinó que estos mutantes eran alélicos a eog1. Combinando el mapeo genético en poblaciones </w:t>
      </w:r>
      <w:proofErr w:type="spellStart"/>
      <w:r w:rsidRPr="003D2CD3">
        <w:rPr>
          <w:sz w:val="18"/>
          <w:szCs w:val="18"/>
        </w:rPr>
        <w:t>segregantes</w:t>
      </w:r>
      <w:proofErr w:type="spellEnd"/>
      <w:r w:rsidRPr="003D2CD3">
        <w:rPr>
          <w:sz w:val="18"/>
          <w:szCs w:val="18"/>
        </w:rPr>
        <w:t xml:space="preserve"> y la </w:t>
      </w:r>
      <w:proofErr w:type="spellStart"/>
      <w:r w:rsidRPr="003D2CD3">
        <w:rPr>
          <w:sz w:val="18"/>
          <w:szCs w:val="18"/>
        </w:rPr>
        <w:t>resecuenciación</w:t>
      </w:r>
      <w:proofErr w:type="spellEnd"/>
      <w:r w:rsidRPr="003D2CD3">
        <w:rPr>
          <w:sz w:val="18"/>
          <w:szCs w:val="18"/>
        </w:rPr>
        <w:t xml:space="preserve"> del genoma completo de múltiples mutantes, se clonó el gen causante de eog1, que codifica un factor de transcripción con dedos de zinc.</w:t>
      </w:r>
    </w:p>
    <w:p w:rsidR="003D2CD3" w:rsidRPr="003D2CD3" w:rsidRDefault="003D2CD3" w:rsidP="00514324">
      <w:pPr>
        <w:rPr>
          <w:sz w:val="18"/>
          <w:szCs w:val="18"/>
        </w:rPr>
      </w:pPr>
    </w:p>
    <w:p w:rsidR="00514324" w:rsidRPr="00FB659F" w:rsidRDefault="00514324" w:rsidP="00514324">
      <w:pPr>
        <w:rPr>
          <w:b/>
          <w:sz w:val="18"/>
          <w:szCs w:val="18"/>
        </w:rPr>
      </w:pPr>
      <w:r w:rsidRPr="00FB659F">
        <w:rPr>
          <w:b/>
          <w:sz w:val="18"/>
          <w:szCs w:val="18"/>
        </w:rPr>
        <w:t>RESULTADOS Y DISCUSIÓN</w:t>
      </w:r>
    </w:p>
    <w:p w:rsidR="003D2CD3" w:rsidRDefault="003D2CD3" w:rsidP="00514324">
      <w:pPr>
        <w:rPr>
          <w:sz w:val="18"/>
          <w:szCs w:val="18"/>
        </w:rPr>
      </w:pPr>
      <w:r w:rsidRPr="003D2CD3">
        <w:rPr>
          <w:sz w:val="18"/>
          <w:szCs w:val="18"/>
        </w:rPr>
        <w:t xml:space="preserve">La proteína EOG1 se localiza en el núcleo y la membrana protoplásmica mediante un sistema de expresión transitoria en hojas de tabaco o </w:t>
      </w:r>
      <w:proofErr w:type="spellStart"/>
      <w:r w:rsidRPr="003D2CD3">
        <w:rPr>
          <w:sz w:val="18"/>
          <w:szCs w:val="18"/>
        </w:rPr>
        <w:t>protoplastos</w:t>
      </w:r>
      <w:proofErr w:type="spellEnd"/>
      <w:r w:rsidRPr="003D2CD3">
        <w:rPr>
          <w:sz w:val="18"/>
          <w:szCs w:val="18"/>
        </w:rPr>
        <w:t xml:space="preserve"> de cebada. El ensayo de complementación de fluorescencia </w:t>
      </w:r>
      <w:proofErr w:type="spellStart"/>
      <w:r w:rsidRPr="003D2CD3">
        <w:rPr>
          <w:sz w:val="18"/>
          <w:szCs w:val="18"/>
        </w:rPr>
        <w:t>bimolecular</w:t>
      </w:r>
      <w:proofErr w:type="spellEnd"/>
      <w:r w:rsidRPr="003D2CD3">
        <w:rPr>
          <w:sz w:val="18"/>
          <w:szCs w:val="18"/>
        </w:rPr>
        <w:t xml:space="preserve"> (</w:t>
      </w:r>
      <w:proofErr w:type="spellStart"/>
      <w:r w:rsidRPr="003D2CD3">
        <w:rPr>
          <w:sz w:val="18"/>
          <w:szCs w:val="18"/>
        </w:rPr>
        <w:t>BiFC</w:t>
      </w:r>
      <w:proofErr w:type="spellEnd"/>
      <w:r w:rsidRPr="003D2CD3">
        <w:rPr>
          <w:sz w:val="18"/>
          <w:szCs w:val="18"/>
        </w:rPr>
        <w:t xml:space="preserve">) demostró que tanto la proteína de tipo silvestre como la mutada pueden formar </w:t>
      </w:r>
      <w:proofErr w:type="spellStart"/>
      <w:r w:rsidRPr="003D2CD3">
        <w:rPr>
          <w:sz w:val="18"/>
          <w:szCs w:val="18"/>
        </w:rPr>
        <w:t>homodímeros</w:t>
      </w:r>
      <w:proofErr w:type="spellEnd"/>
      <w:r w:rsidRPr="003D2CD3">
        <w:rPr>
          <w:sz w:val="18"/>
          <w:szCs w:val="18"/>
        </w:rPr>
        <w:t xml:space="preserve"> y </w:t>
      </w:r>
      <w:proofErr w:type="spellStart"/>
      <w:r w:rsidRPr="003D2CD3">
        <w:rPr>
          <w:sz w:val="18"/>
          <w:szCs w:val="18"/>
        </w:rPr>
        <w:t>heterodímeros</w:t>
      </w:r>
      <w:proofErr w:type="spellEnd"/>
      <w:r w:rsidRPr="003D2CD3">
        <w:rPr>
          <w:sz w:val="18"/>
          <w:szCs w:val="18"/>
        </w:rPr>
        <w:t xml:space="preserve"> dentro del núcleo y la membrana celular (Fig. 1).</w:t>
      </w:r>
    </w:p>
    <w:p w:rsidR="003D2CD3" w:rsidRDefault="003D2CD3" w:rsidP="00514324">
      <w:pPr>
        <w:rPr>
          <w:sz w:val="18"/>
          <w:szCs w:val="18"/>
        </w:rPr>
      </w:pPr>
      <w:r w:rsidRPr="00A62FE2">
        <w:rPr>
          <w:i/>
          <w:noProof/>
          <w:sz w:val="18"/>
          <w:szCs w:val="18"/>
          <w:lang w:eastAsia="es-AR"/>
        </w:rPr>
        <w:drawing>
          <wp:anchor distT="0" distB="0" distL="114300" distR="114300" simplePos="0" relativeHeight="251658240" behindDoc="0" locked="0" layoutInCell="1" allowOverlap="1" wp14:anchorId="4DDB6DF1" wp14:editId="76158DC4">
            <wp:simplePos x="0" y="0"/>
            <wp:positionH relativeFrom="margin">
              <wp:posOffset>36220</wp:posOffset>
            </wp:positionH>
            <wp:positionV relativeFrom="paragraph">
              <wp:posOffset>8078</wp:posOffset>
            </wp:positionV>
            <wp:extent cx="2113915" cy="133794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3915" cy="1337945"/>
                    </a:xfrm>
                    <a:prstGeom prst="rect">
                      <a:avLst/>
                    </a:prstGeom>
                    <a:noFill/>
                  </pic:spPr>
                </pic:pic>
              </a:graphicData>
            </a:graphic>
            <wp14:sizeRelH relativeFrom="margin">
              <wp14:pctWidth>0</wp14:pctWidth>
            </wp14:sizeRelH>
            <wp14:sizeRelV relativeFrom="margin">
              <wp14:pctHeight>0</wp14:pctHeight>
            </wp14:sizeRelV>
          </wp:anchor>
        </w:drawing>
      </w:r>
    </w:p>
    <w:p w:rsidR="00514324" w:rsidRPr="00A62FE2" w:rsidRDefault="00514324" w:rsidP="00514324">
      <w:pPr>
        <w:rPr>
          <w:sz w:val="18"/>
          <w:szCs w:val="18"/>
        </w:rPr>
      </w:pPr>
      <w:r w:rsidRPr="003D2CD3">
        <w:rPr>
          <w:b/>
          <w:i/>
          <w:sz w:val="18"/>
          <w:szCs w:val="18"/>
        </w:rPr>
        <w:t>Figura 1</w:t>
      </w:r>
      <w:r w:rsidRPr="00A62FE2">
        <w:rPr>
          <w:i/>
          <w:sz w:val="18"/>
          <w:szCs w:val="18"/>
        </w:rPr>
        <w:t>: Rendimientos potenciales en Argentina, Brasil, Chile y Uruguay</w:t>
      </w:r>
      <w:r w:rsidRPr="00A62FE2">
        <w:rPr>
          <w:sz w:val="18"/>
          <w:szCs w:val="18"/>
        </w:rPr>
        <w:t>.</w:t>
      </w:r>
    </w:p>
    <w:p w:rsidR="00514324" w:rsidRPr="00A62FE2" w:rsidRDefault="00514324" w:rsidP="00514324">
      <w:pPr>
        <w:rPr>
          <w:sz w:val="18"/>
          <w:szCs w:val="18"/>
        </w:rPr>
      </w:pPr>
    </w:p>
    <w:p w:rsidR="003D2CD3" w:rsidRDefault="003D2CD3" w:rsidP="00514324">
      <w:pPr>
        <w:rPr>
          <w:sz w:val="18"/>
          <w:szCs w:val="18"/>
        </w:rPr>
      </w:pPr>
      <w:r w:rsidRPr="003D2CD3">
        <w:rPr>
          <w:sz w:val="18"/>
          <w:szCs w:val="18"/>
        </w:rPr>
        <w:t xml:space="preserve">El perfil </w:t>
      </w:r>
      <w:proofErr w:type="spellStart"/>
      <w:r w:rsidRPr="003D2CD3">
        <w:rPr>
          <w:sz w:val="18"/>
          <w:szCs w:val="18"/>
        </w:rPr>
        <w:t>transcripcional</w:t>
      </w:r>
      <w:proofErr w:type="spellEnd"/>
      <w:r w:rsidRPr="003D2CD3">
        <w:rPr>
          <w:sz w:val="18"/>
          <w:szCs w:val="18"/>
        </w:rPr>
        <w:t xml:space="preserve"> mostró que eog1 se expresa predominantemente en la etapa temprana (p. ej., W2.5-W3.5) durante el desarrollo de la inflorescencia. El análisis </w:t>
      </w:r>
      <w:proofErr w:type="spellStart"/>
      <w:r w:rsidRPr="003D2CD3">
        <w:rPr>
          <w:sz w:val="18"/>
          <w:szCs w:val="18"/>
        </w:rPr>
        <w:t>transcriptómico</w:t>
      </w:r>
      <w:proofErr w:type="spellEnd"/>
      <w:r w:rsidRPr="003D2CD3">
        <w:rPr>
          <w:sz w:val="18"/>
          <w:szCs w:val="18"/>
        </w:rPr>
        <w:t xml:space="preserve"> entre el tipo silvestre y el mutante eog1 de su inflorescencia joven en la etapa W3.5 reveló 788 genes diferencialmente expresados ​​(GDE). Sus funciones principales son actividad hidrolasa, actividad transportadora transmembrana, actividad </w:t>
      </w:r>
      <w:proofErr w:type="spellStart"/>
      <w:r w:rsidRPr="003D2CD3">
        <w:rPr>
          <w:sz w:val="18"/>
          <w:szCs w:val="18"/>
        </w:rPr>
        <w:t>endopeptidasa</w:t>
      </w:r>
      <w:proofErr w:type="spellEnd"/>
      <w:r w:rsidRPr="003D2CD3">
        <w:rPr>
          <w:sz w:val="18"/>
          <w:szCs w:val="18"/>
        </w:rPr>
        <w:t xml:space="preserve"> de tipo </w:t>
      </w:r>
      <w:proofErr w:type="spellStart"/>
      <w:r w:rsidRPr="003D2CD3">
        <w:rPr>
          <w:sz w:val="18"/>
          <w:szCs w:val="18"/>
        </w:rPr>
        <w:t>serina</w:t>
      </w:r>
      <w:proofErr w:type="spellEnd"/>
      <w:r w:rsidRPr="003D2CD3">
        <w:rPr>
          <w:sz w:val="18"/>
          <w:szCs w:val="18"/>
        </w:rPr>
        <w:t xml:space="preserve"> y transporte de iones metálicos, según el análisis de enriquecimiento GO y anotación funcional. El enriquecimiento KEGG mostró que eog1 interactúa con vías reguladoras como la vía del factor de transcripción MYB, la vía del factor de transcripción EREBP, la vía de la </w:t>
      </w:r>
      <w:proofErr w:type="spellStart"/>
      <w:r w:rsidRPr="003D2CD3">
        <w:rPr>
          <w:sz w:val="18"/>
          <w:szCs w:val="18"/>
        </w:rPr>
        <w:t>peroxidasa</w:t>
      </w:r>
      <w:proofErr w:type="spellEnd"/>
      <w:r w:rsidRPr="003D2CD3">
        <w:rPr>
          <w:sz w:val="18"/>
          <w:szCs w:val="18"/>
        </w:rPr>
        <w:t xml:space="preserve"> y la vía de la </w:t>
      </w:r>
      <w:proofErr w:type="spellStart"/>
      <w:r w:rsidRPr="003D2CD3">
        <w:rPr>
          <w:sz w:val="18"/>
          <w:szCs w:val="18"/>
        </w:rPr>
        <w:t>acuaporina</w:t>
      </w:r>
      <w:proofErr w:type="spellEnd"/>
      <w:r w:rsidRPr="003D2CD3">
        <w:rPr>
          <w:sz w:val="18"/>
          <w:szCs w:val="18"/>
        </w:rPr>
        <w:t>.</w:t>
      </w:r>
    </w:p>
    <w:p w:rsidR="003D2CD3" w:rsidRDefault="003D2CD3" w:rsidP="00514324">
      <w:pPr>
        <w:rPr>
          <w:sz w:val="18"/>
          <w:szCs w:val="18"/>
        </w:rPr>
      </w:pPr>
    </w:p>
    <w:p w:rsidR="00514324" w:rsidRPr="003D2CD3" w:rsidRDefault="00514324" w:rsidP="00514324">
      <w:pPr>
        <w:rPr>
          <w:b/>
          <w:sz w:val="18"/>
          <w:szCs w:val="18"/>
        </w:rPr>
      </w:pPr>
      <w:r w:rsidRPr="003D2CD3">
        <w:rPr>
          <w:b/>
          <w:sz w:val="18"/>
          <w:szCs w:val="18"/>
        </w:rPr>
        <w:t>CONCLUSIONES</w:t>
      </w:r>
    </w:p>
    <w:p w:rsidR="00791CFF" w:rsidRDefault="003D2CD3" w:rsidP="00514324">
      <w:pPr>
        <w:rPr>
          <w:sz w:val="18"/>
          <w:szCs w:val="18"/>
        </w:rPr>
      </w:pPr>
      <w:r w:rsidRPr="003D2CD3">
        <w:rPr>
          <w:sz w:val="18"/>
          <w:szCs w:val="18"/>
        </w:rPr>
        <w:t>En conjunto, este estudio clonó el gen eog1 de la cebada que controla la morfogénesis de la gluma externa, sentando las bases para dilucidar el mecanismo molecular de la morfogénesis de la gluma de la cebada, tanto en la cebada como en otros cultivos.</w:t>
      </w:r>
    </w:p>
    <w:p w:rsidR="003D2CD3" w:rsidRPr="003D2CD3" w:rsidRDefault="003D2CD3" w:rsidP="00514324">
      <w:pPr>
        <w:rPr>
          <w:sz w:val="18"/>
          <w:szCs w:val="18"/>
        </w:rPr>
      </w:pPr>
    </w:p>
    <w:p w:rsidR="00514324" w:rsidRPr="00A62FE2" w:rsidRDefault="00514324" w:rsidP="00514324">
      <w:pPr>
        <w:rPr>
          <w:b/>
          <w:sz w:val="18"/>
          <w:szCs w:val="18"/>
        </w:rPr>
      </w:pPr>
      <w:r w:rsidRPr="00A62FE2">
        <w:rPr>
          <w:b/>
          <w:sz w:val="18"/>
          <w:szCs w:val="18"/>
        </w:rPr>
        <w:t>BIBLIOGRAFIA</w:t>
      </w:r>
    </w:p>
    <w:p w:rsidR="00514324" w:rsidRPr="00A62FE2" w:rsidRDefault="00514324" w:rsidP="00514324">
      <w:pPr>
        <w:rPr>
          <w:sz w:val="18"/>
          <w:szCs w:val="18"/>
        </w:rPr>
      </w:pPr>
      <w:r w:rsidRPr="00A62FE2">
        <w:rPr>
          <w:sz w:val="18"/>
          <w:szCs w:val="18"/>
        </w:rPr>
        <w:fldChar w:fldCharType="begin" w:fldLock="1"/>
      </w:r>
      <w:r w:rsidRPr="00A62FE2">
        <w:rPr>
          <w:sz w:val="18"/>
          <w:szCs w:val="18"/>
        </w:rPr>
        <w:instrText xml:space="preserve">ADDIN Mendeley Bibliography CSL_BIBLIOGRAPHY </w:instrText>
      </w:r>
      <w:r w:rsidRPr="00A62FE2">
        <w:rPr>
          <w:sz w:val="18"/>
          <w:szCs w:val="18"/>
        </w:rPr>
        <w:fldChar w:fldCharType="separate"/>
      </w:r>
      <w:r w:rsidRPr="00A62FE2">
        <w:rPr>
          <w:sz w:val="18"/>
          <w:szCs w:val="18"/>
        </w:rPr>
        <w:t xml:space="preserve">Abeledo, L.G., Calderini, D.F., Slafer, G.A., 2003. </w:t>
      </w:r>
      <w:r w:rsidRPr="00A62FE2">
        <w:rPr>
          <w:sz w:val="18"/>
          <w:szCs w:val="18"/>
          <w:lang w:val="en-US"/>
        </w:rPr>
        <w:t xml:space="preserve">Genetic improvement of yield responsiveness to nitrogen fertilization and its physiological determinants in barley. </w:t>
      </w:r>
      <w:r w:rsidRPr="00A62FE2">
        <w:rPr>
          <w:sz w:val="18"/>
          <w:szCs w:val="18"/>
        </w:rPr>
        <w:t>Euphytica 133, 291–298. https://doi.org/10.1023/A:1025796527208</w:t>
      </w:r>
    </w:p>
    <w:p w:rsidR="00514324" w:rsidRPr="00A62FE2" w:rsidRDefault="00514324" w:rsidP="00514324">
      <w:pPr>
        <w:rPr>
          <w:sz w:val="18"/>
          <w:szCs w:val="18"/>
          <w:lang w:val="en-US"/>
        </w:rPr>
      </w:pPr>
      <w:r w:rsidRPr="00A62FE2">
        <w:rPr>
          <w:sz w:val="18"/>
          <w:szCs w:val="18"/>
        </w:rPr>
        <w:t xml:space="preserve">Achilli, A.L., Roncallo, P.F., Echenique, V., 2022. </w:t>
      </w:r>
      <w:r w:rsidRPr="00A62FE2">
        <w:rPr>
          <w:sz w:val="18"/>
          <w:szCs w:val="18"/>
          <w:lang w:val="en-US"/>
        </w:rPr>
        <w:t>Genetic Gains in Grain Yield and Agronomic Traits of Argentinian Durum Wheat from 1934 to 2015. Agronomy 12, 1–14. https://doi.org/10.3390/agronomy12092151</w:t>
      </w:r>
    </w:p>
    <w:p w:rsidR="00514324" w:rsidRPr="00514324" w:rsidRDefault="00514324" w:rsidP="00514324">
      <w:pPr>
        <w:rPr>
          <w:sz w:val="16"/>
        </w:rPr>
      </w:pPr>
      <w:r w:rsidRPr="00A62FE2">
        <w:rPr>
          <w:sz w:val="18"/>
          <w:szCs w:val="18"/>
        </w:rPr>
        <w:fldChar w:fldCharType="end"/>
      </w:r>
    </w:p>
    <w:sectPr w:rsidR="00514324" w:rsidRPr="00514324" w:rsidSect="00BC7B5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
    <w:altName w:val="Malgun Gothic Semilight"/>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24"/>
    <w:rsid w:val="003D2CD3"/>
    <w:rsid w:val="00514324"/>
    <w:rsid w:val="00791CFF"/>
    <w:rsid w:val="00A62FE2"/>
    <w:rsid w:val="00AD123D"/>
    <w:rsid w:val="00BC7B51"/>
    <w:rsid w:val="00FB65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18A7"/>
  <w15:chartTrackingRefBased/>
  <w15:docId w15:val="{7E4CAD41-C420-4616-9D11-F062685A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14324"/>
    <w:pPr>
      <w:widowControl w:val="0"/>
      <w:autoSpaceDE w:val="0"/>
      <w:autoSpaceDN w:val="0"/>
      <w:adjustRightInd w:val="0"/>
      <w:spacing w:after="0" w:line="240" w:lineRule="auto"/>
      <w:jc w:val="both"/>
    </w:pPr>
    <w:rPr>
      <w:rFonts w:ascii="Arial" w:eastAsia="SimSun" w:hAnsi="Arial" w:cs="Arial"/>
      <w:kern w:val="2"/>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Gimuce</dc:creator>
  <cp:keywords/>
  <dc:description/>
  <cp:lastModifiedBy>Gimuce</cp:lastModifiedBy>
  <cp:revision>5</cp:revision>
  <dcterms:created xsi:type="dcterms:W3CDTF">2026-03-30T18:33:00Z</dcterms:created>
  <dcterms:modified xsi:type="dcterms:W3CDTF">2026-03-31T13:02:00Z</dcterms:modified>
</cp:coreProperties>
</file>